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E9" w:rsidRPr="009D27E9" w:rsidRDefault="009D27E9" w:rsidP="009D27E9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9D27E9" w:rsidRPr="009D27E9" w:rsidRDefault="009D27E9" w:rsidP="009D27E9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9D27E9" w:rsidRPr="009D27E9" w:rsidRDefault="009D27E9" w:rsidP="009D27E9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9D27E9" w:rsidRPr="009D27E9" w:rsidRDefault="009D27E9" w:rsidP="009D27E9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9D27E9" w:rsidRPr="009D27E9" w:rsidRDefault="009D27E9" w:rsidP="009D27E9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9D27E9" w:rsidRPr="009D27E9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9D27E9" w:rsidRPr="009D27E9" w:rsidRDefault="009D27E9" w:rsidP="009D27E9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</w:pPr>
            <w:r w:rsidRPr="009D27E9"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9D27E9" w:rsidRPr="009D27E9" w:rsidRDefault="009D27E9" w:rsidP="009D27E9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</w:pPr>
            <w:r w:rsidRPr="009D27E9"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  <w:t>Fasken Martineau DuMoulin LLP</w:t>
            </w:r>
          </w:p>
        </w:tc>
      </w:tr>
    </w:tbl>
    <w:p w:rsidR="009D27E9" w:rsidRPr="009D27E9" w:rsidRDefault="009D27E9" w:rsidP="009D27E9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9D27E9" w:rsidRPr="009D27E9" w:rsidRDefault="009D27E9" w:rsidP="009D27E9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9D27E9"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  <w:t>Merger/Name</w:t>
      </w:r>
    </w:p>
    <w:p w:rsidR="009D27E9" w:rsidRPr="009D27E9" w:rsidRDefault="009D27E9" w:rsidP="009D27E9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9D27E9"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  <w:t>Change Date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9D27E9"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  <w:t>Notes</w:t>
      </w:r>
    </w:p>
    <w:p w:rsidR="009D27E9" w:rsidRPr="009D27E9" w:rsidRDefault="009D27E9" w:rsidP="009D27E9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Kitamura Green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July 1, 1987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Campbell, Godfrey &amp; </w:t>
      </w: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Lewtas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November 1, 1989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(inactive but not dissolved)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Fasken &amp; Calvin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November 1, 1989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(inactive but not dissolved)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Fasken Campbell Godfrey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2000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(inactive)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Martineau Walker (“MW”)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2000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(inactive)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Russell &amp; DuMoulin (“RD”)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2000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(inactive)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Gagnon </w:t>
      </w: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Lafleur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&amp; Associates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1981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MW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Lazarovitz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, Cannon, </w:t>
      </w: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Lemelin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, Rourke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1983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MW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Lyall </w:t>
      </w: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McKercher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Hanna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1989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RD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Day &amp; Co.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November 1, 2002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PharmaLaw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October 1, 2004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Stringer and Saul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January 1, 1978 *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Stringer Saul &amp; Justice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1979 *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Stringer Saul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May 1, 1985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Walker Martineau Stringer Saul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Sept. 1, 1990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Stringer Saul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May 1, 1991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Stringer Saul LLP (“SS”)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2007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FMSS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Johnston &amp; Buchan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1992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J&amp;B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Johnston, Buchan &amp; </w:t>
      </w: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Dalfen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1994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J&amp;B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Johnston &amp; Buchan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2001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J&amp;B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Johnston &amp; Buchan LLP (“J&amp;B”)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April 1, 2007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FMD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Fasken Martineau Stringer Saul LLP (“FMSS”)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11, 2008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Name changed to Fasken Martineau LLP (name to be used in UK only)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Gravel, Leclerc &amp; </w:t>
      </w:r>
      <w:proofErr w:type="spell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Associes</w:t>
      </w:r>
      <w:proofErr w:type="spell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S.E.L.A.S. (GL)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1, 2009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Name changed to Fasken Martineau S.E.LA.S.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Gravel, Leclerc &amp; Partners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1, 2009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GL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right="-852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Bell Dewar and Hall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1, 2009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Bell Dewar Inc.</w:t>
      </w:r>
      <w:bookmarkStart w:id="0" w:name="_GoBack"/>
      <w:bookmarkEnd w:id="0"/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Bell Dewar Inc.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2013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Bell Dewar Inc. (a South</w:t>
      </w:r>
    </w:p>
    <w:p w:rsidR="009D27E9" w:rsidRPr="009D27E9" w:rsidRDefault="009D27E9" w:rsidP="009D27E9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African Corporation) and </w:t>
      </w:r>
      <w:proofErr w:type="gramStart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any and all</w:t>
      </w:r>
      <w:proofErr w:type="gramEnd"/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 xml:space="preserve"> predecessors</w:t>
      </w:r>
    </w:p>
    <w:p w:rsidR="009D27E9" w:rsidRPr="009D27E9" w:rsidRDefault="009D27E9" w:rsidP="009D27E9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jc w:val="both"/>
        <w:rPr>
          <w:rFonts w:ascii="Calibri Light" w:eastAsia="Times New Roman" w:hAnsi="Calibri Light" w:cs="Times New Roman"/>
          <w:sz w:val="20"/>
          <w:szCs w:val="20"/>
          <w:lang w:val="fr-FR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fr-FR"/>
        </w:rPr>
        <w:t>Gravel, Leclerc &amp; Grange S.E.P.</w:t>
      </w:r>
    </w:p>
    <w:p w:rsidR="009D27E9" w:rsidRPr="009D27E9" w:rsidRDefault="009D27E9" w:rsidP="009D27E9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fr-FR"/>
        </w:rPr>
        <w:tab/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(a French Partnership)</w:t>
      </w:r>
    </w:p>
    <w:p w:rsidR="009D27E9" w:rsidRPr="009D27E9" w:rsidRDefault="009D27E9" w:rsidP="009D27E9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9D27E9" w:rsidRPr="009D27E9" w:rsidRDefault="009D27E9" w:rsidP="009D27E9">
      <w:pPr>
        <w:tabs>
          <w:tab w:val="left" w:pos="0"/>
          <w:tab w:val="left" w:pos="270"/>
          <w:tab w:val="left" w:pos="4140"/>
          <w:tab w:val="left" w:pos="621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FMD = Fasken Martineau DuMoulin LLP</w:t>
      </w:r>
    </w:p>
    <w:p w:rsidR="009D27E9" w:rsidRPr="009D27E9" w:rsidRDefault="009D27E9" w:rsidP="009D27E9">
      <w:pPr>
        <w:tabs>
          <w:tab w:val="left" w:pos="0"/>
          <w:tab w:val="left" w:pos="270"/>
          <w:tab w:val="left" w:pos="4140"/>
          <w:tab w:val="left" w:pos="621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*  Precise date of name change cannot be verified.</w:t>
      </w:r>
    </w:p>
    <w:p w:rsidR="009D27E9" w:rsidRPr="009D27E9" w:rsidRDefault="009D27E9" w:rsidP="009D27E9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9D27E9" w:rsidRPr="009D27E9" w:rsidRDefault="009D27E9" w:rsidP="009D27E9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9D27E9" w:rsidRPr="009D27E9" w:rsidRDefault="009D27E9" w:rsidP="009D27E9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>Note:</w:t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9D27E9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 w:rsidP="009D27E9">
      <w:pPr>
        <w:ind w:right="-285"/>
        <w:rPr>
          <w:lang w:val="en-US"/>
        </w:rPr>
      </w:pPr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55542F"/>
    <w:rsid w:val="009D27E9"/>
    <w:rsid w:val="00A5740B"/>
    <w:rsid w:val="00A7087C"/>
    <w:rsid w:val="00A9745B"/>
    <w:rsid w:val="00D1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2017-02-21T15:28:00Z</dcterms:created>
  <dcterms:modified xsi:type="dcterms:W3CDTF">2017-02-21T15:28:00Z</dcterms:modified>
</cp:coreProperties>
</file>